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CF" w:rsidRPr="00E41BCF" w:rsidRDefault="00E41BCF" w:rsidP="00E41BC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BCF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:rsidR="00E41BCF" w:rsidRDefault="00E41BCF" w:rsidP="00E41BC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BCF">
        <w:rPr>
          <w:rFonts w:ascii="Times New Roman" w:hAnsi="Times New Roman" w:cs="Times New Roman"/>
          <w:b/>
          <w:bCs/>
          <w:sz w:val="28"/>
          <w:szCs w:val="28"/>
        </w:rPr>
        <w:t>о подготовке и заключении договоров пользования водными биолог</w:t>
      </w:r>
      <w:r w:rsidRPr="00E41BC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41BCF">
        <w:rPr>
          <w:rFonts w:ascii="Times New Roman" w:hAnsi="Times New Roman" w:cs="Times New Roman"/>
          <w:b/>
          <w:bCs/>
          <w:sz w:val="28"/>
          <w:szCs w:val="28"/>
        </w:rPr>
        <w:t>ческими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b/>
          <w:bCs/>
          <w:sz w:val="28"/>
          <w:szCs w:val="28"/>
        </w:rPr>
        <w:t>ресурсами, общий допустимый улов которых не устанавливается, на 202</w:t>
      </w:r>
      <w:r w:rsidR="00D07408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E41BCF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E41BCF" w:rsidRP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Волго-Каспийское территориальное управление Росрыболовства (далее – Управление)</w:t>
      </w:r>
      <w:r w:rsidRPr="00E41BCF">
        <w:rPr>
          <w:rFonts w:ascii="Times New Roman" w:hAnsi="Times New Roman" w:cs="Times New Roman"/>
          <w:sz w:val="28"/>
          <w:szCs w:val="28"/>
        </w:rPr>
        <w:t xml:space="preserve"> в целях реализации положений,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предусмотренных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от 25 августа 2008 г. № 643 «О подгото</w:t>
      </w:r>
      <w:r w:rsidRPr="00E41BCF">
        <w:rPr>
          <w:rFonts w:ascii="Times New Roman" w:hAnsi="Times New Roman" w:cs="Times New Roman"/>
          <w:sz w:val="28"/>
          <w:szCs w:val="28"/>
        </w:rPr>
        <w:t>в</w:t>
      </w:r>
      <w:r w:rsidRPr="00E41BCF">
        <w:rPr>
          <w:rFonts w:ascii="Times New Roman" w:hAnsi="Times New Roman" w:cs="Times New Roman"/>
          <w:sz w:val="28"/>
          <w:szCs w:val="28"/>
        </w:rPr>
        <w:t>ке и заключении договора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водными биологическими ресурсами, общий допустимый улов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не устанавливается» (далее соответственно – договор пользования, водные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биоресурсы), сообщает.</w:t>
      </w:r>
    </w:p>
    <w:p w:rsidR="00C72DED" w:rsidRPr="00E41BCF" w:rsidRDefault="00C72DED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CF" w:rsidRP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41BCF">
        <w:rPr>
          <w:rFonts w:ascii="Times New Roman" w:hAnsi="Times New Roman" w:cs="Times New Roman"/>
          <w:sz w:val="28"/>
          <w:szCs w:val="28"/>
        </w:rPr>
        <w:t>Для заключения договоров пользования в отношении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биоресу</w:t>
      </w:r>
      <w:r w:rsidRPr="00E41BCF">
        <w:rPr>
          <w:rFonts w:ascii="Times New Roman" w:hAnsi="Times New Roman" w:cs="Times New Roman"/>
          <w:sz w:val="28"/>
          <w:szCs w:val="28"/>
        </w:rPr>
        <w:t>р</w:t>
      </w:r>
      <w:r w:rsidRPr="00E41BCF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Каспийского моря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 могут подать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 в </w:t>
      </w:r>
      <w:r w:rsidR="00BB6095">
        <w:rPr>
          <w:rFonts w:ascii="Times New Roman" w:hAnsi="Times New Roman" w:cs="Times New Roman"/>
          <w:sz w:val="28"/>
          <w:szCs w:val="28"/>
        </w:rPr>
        <w:t>У</w:t>
      </w:r>
      <w:r w:rsidRPr="00E41BCF">
        <w:rPr>
          <w:rFonts w:ascii="Times New Roman" w:hAnsi="Times New Roman" w:cs="Times New Roman"/>
          <w:sz w:val="28"/>
          <w:szCs w:val="28"/>
        </w:rPr>
        <w:t>правлени</w:t>
      </w:r>
      <w:r w:rsidR="00BB6095">
        <w:rPr>
          <w:rFonts w:ascii="Times New Roman" w:hAnsi="Times New Roman" w:cs="Times New Roman"/>
          <w:sz w:val="28"/>
          <w:szCs w:val="28"/>
        </w:rPr>
        <w:t>е</w:t>
      </w:r>
      <w:r w:rsidRPr="00E41BCF">
        <w:rPr>
          <w:rFonts w:ascii="Times New Roman" w:hAnsi="Times New Roman" w:cs="Times New Roman"/>
          <w:sz w:val="28"/>
          <w:szCs w:val="28"/>
        </w:rPr>
        <w:t xml:space="preserve"> не поз</w:t>
      </w:r>
      <w:r w:rsidRPr="00E41BCF">
        <w:rPr>
          <w:rFonts w:ascii="Times New Roman" w:hAnsi="Times New Roman" w:cs="Times New Roman"/>
          <w:sz w:val="28"/>
          <w:szCs w:val="28"/>
        </w:rPr>
        <w:t>д</w:t>
      </w:r>
      <w:r w:rsidRPr="00E41BCF">
        <w:rPr>
          <w:rFonts w:ascii="Times New Roman" w:hAnsi="Times New Roman" w:cs="Times New Roman"/>
          <w:sz w:val="28"/>
          <w:szCs w:val="28"/>
        </w:rPr>
        <w:t>нее 30 декабря года осуществления рыболовства с учетом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приказа Росрыболовства от 1 апреля 2020 г. № 175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Административн</w:t>
      </w:r>
      <w:r w:rsidRPr="00E41BCF">
        <w:rPr>
          <w:rFonts w:ascii="Times New Roman" w:hAnsi="Times New Roman" w:cs="Times New Roman"/>
          <w:sz w:val="28"/>
          <w:szCs w:val="28"/>
        </w:rPr>
        <w:t>о</w:t>
      </w:r>
      <w:r w:rsidRPr="00E41BCF">
        <w:rPr>
          <w:rFonts w:ascii="Times New Roman" w:hAnsi="Times New Roman" w:cs="Times New Roman"/>
          <w:sz w:val="28"/>
          <w:szCs w:val="28"/>
        </w:rPr>
        <w:t>го регламента Федерального агентства по рыболовству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по предоставлению гос</w:t>
      </w:r>
      <w:r w:rsidRPr="00E41BCF">
        <w:rPr>
          <w:rFonts w:ascii="Times New Roman" w:hAnsi="Times New Roman" w:cs="Times New Roman"/>
          <w:sz w:val="28"/>
          <w:szCs w:val="28"/>
        </w:rPr>
        <w:t>у</w:t>
      </w:r>
      <w:r w:rsidRPr="00E41BCF">
        <w:rPr>
          <w:rFonts w:ascii="Times New Roman" w:hAnsi="Times New Roman" w:cs="Times New Roman"/>
          <w:sz w:val="28"/>
          <w:szCs w:val="28"/>
        </w:rPr>
        <w:t>дарственной услуги по заключению с юридическими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E41BCF">
        <w:rPr>
          <w:rFonts w:ascii="Times New Roman" w:hAnsi="Times New Roman" w:cs="Times New Roman"/>
          <w:sz w:val="28"/>
          <w:szCs w:val="28"/>
        </w:rPr>
        <w:t xml:space="preserve"> и индивидуальн</w:t>
      </w:r>
      <w:r w:rsidRPr="00E41BCF">
        <w:rPr>
          <w:rFonts w:ascii="Times New Roman" w:hAnsi="Times New Roman" w:cs="Times New Roman"/>
          <w:sz w:val="28"/>
          <w:szCs w:val="28"/>
        </w:rPr>
        <w:t>ы</w:t>
      </w:r>
      <w:r w:rsidRPr="00E41BCF">
        <w:rPr>
          <w:rFonts w:ascii="Times New Roman" w:hAnsi="Times New Roman" w:cs="Times New Roman"/>
          <w:sz w:val="28"/>
          <w:szCs w:val="28"/>
        </w:rPr>
        <w:t>ми предпринимателями договоров пользования водными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биологическими р</w:t>
      </w:r>
      <w:r w:rsidRPr="00E41BCF">
        <w:rPr>
          <w:rFonts w:ascii="Times New Roman" w:hAnsi="Times New Roman" w:cs="Times New Roman"/>
          <w:sz w:val="28"/>
          <w:szCs w:val="28"/>
        </w:rPr>
        <w:t>е</w:t>
      </w:r>
      <w:r w:rsidRPr="00E41BCF">
        <w:rPr>
          <w:rFonts w:ascii="Times New Roman" w:hAnsi="Times New Roman" w:cs="Times New Roman"/>
          <w:sz w:val="28"/>
          <w:szCs w:val="28"/>
        </w:rPr>
        <w:t>сурсами, общий допустимый улов которых не устанавливается,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в отношении водных биологических ресурсов внутренних морских вод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Федер</w:t>
      </w:r>
      <w:r w:rsidRPr="00E41BCF">
        <w:rPr>
          <w:rFonts w:ascii="Times New Roman" w:hAnsi="Times New Roman" w:cs="Times New Roman"/>
          <w:sz w:val="28"/>
          <w:szCs w:val="28"/>
        </w:rPr>
        <w:t>а</w:t>
      </w:r>
      <w:r w:rsidRPr="00E41BCF">
        <w:rPr>
          <w:rFonts w:ascii="Times New Roman" w:hAnsi="Times New Roman" w:cs="Times New Roman"/>
          <w:sz w:val="28"/>
          <w:szCs w:val="28"/>
        </w:rPr>
        <w:t>ции, территориального моря Российской Федерации, исключительной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эконом</w:t>
      </w:r>
      <w:r w:rsidRPr="00E41BCF">
        <w:rPr>
          <w:rFonts w:ascii="Times New Roman" w:hAnsi="Times New Roman" w:cs="Times New Roman"/>
          <w:sz w:val="28"/>
          <w:szCs w:val="28"/>
        </w:rPr>
        <w:t>и</w:t>
      </w:r>
      <w:r w:rsidRPr="00E41BCF">
        <w:rPr>
          <w:rFonts w:ascii="Times New Roman" w:hAnsi="Times New Roman" w:cs="Times New Roman"/>
          <w:sz w:val="28"/>
          <w:szCs w:val="28"/>
        </w:rPr>
        <w:t>ческой зоны Российской Федерации, континентального шельфа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Ф</w:t>
      </w:r>
      <w:r w:rsidRPr="00E41BCF">
        <w:rPr>
          <w:rFonts w:ascii="Times New Roman" w:hAnsi="Times New Roman" w:cs="Times New Roman"/>
          <w:sz w:val="28"/>
          <w:szCs w:val="28"/>
        </w:rPr>
        <w:t>е</w:t>
      </w:r>
      <w:r w:rsidRPr="00E41BCF">
        <w:rPr>
          <w:rFonts w:ascii="Times New Roman" w:hAnsi="Times New Roman" w:cs="Times New Roman"/>
          <w:sz w:val="28"/>
          <w:szCs w:val="28"/>
        </w:rPr>
        <w:t>дерации, Азовского и Каспийского морей, районов действия 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BCF">
        <w:rPr>
          <w:rFonts w:ascii="Times New Roman" w:hAnsi="Times New Roman" w:cs="Times New Roman"/>
          <w:sz w:val="28"/>
          <w:szCs w:val="28"/>
        </w:rPr>
        <w:t>д</w:t>
      </w:r>
      <w:r w:rsidRPr="00E41BC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41BCF">
        <w:rPr>
          <w:rFonts w:ascii="Times New Roman" w:hAnsi="Times New Roman" w:cs="Times New Roman"/>
          <w:sz w:val="28"/>
          <w:szCs w:val="28"/>
        </w:rPr>
        <w:t>говоров Российской Федерации в области рыболовства и сохранения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 xml:space="preserve">биологических ресурсов, а также в отношении </w:t>
      </w:r>
      <w:proofErr w:type="spellStart"/>
      <w:r w:rsidRPr="00E41BCF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E41BCF">
        <w:rPr>
          <w:rFonts w:ascii="Times New Roman" w:hAnsi="Times New Roman" w:cs="Times New Roman"/>
          <w:sz w:val="28"/>
          <w:szCs w:val="28"/>
        </w:rPr>
        <w:t xml:space="preserve"> и трансграничных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видов рыб» (</w:t>
      </w:r>
      <w:proofErr w:type="gramStart"/>
      <w:r w:rsidRPr="00E41BCF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E41BCF">
        <w:rPr>
          <w:rFonts w:ascii="Times New Roman" w:hAnsi="Times New Roman" w:cs="Times New Roman"/>
          <w:sz w:val="28"/>
          <w:szCs w:val="28"/>
        </w:rPr>
        <w:t xml:space="preserve"> Минюстом России 5 августа 2020 г., регистрац</w:t>
      </w:r>
      <w:r w:rsidRPr="00E41BCF">
        <w:rPr>
          <w:rFonts w:ascii="Times New Roman" w:hAnsi="Times New Roman" w:cs="Times New Roman"/>
          <w:sz w:val="28"/>
          <w:szCs w:val="28"/>
        </w:rPr>
        <w:t>и</w:t>
      </w:r>
      <w:r w:rsidRPr="00E41BCF">
        <w:rPr>
          <w:rFonts w:ascii="Times New Roman" w:hAnsi="Times New Roman" w:cs="Times New Roman"/>
          <w:sz w:val="28"/>
          <w:szCs w:val="28"/>
        </w:rPr>
        <w:t>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№ 59182).</w:t>
      </w:r>
    </w:p>
    <w:p w:rsid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CF">
        <w:rPr>
          <w:rFonts w:ascii="Times New Roman" w:hAnsi="Times New Roman" w:cs="Times New Roman"/>
          <w:sz w:val="28"/>
          <w:szCs w:val="28"/>
        </w:rPr>
        <w:t>2. Виды водных биоресурсов Каспийского моря,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E41BCF">
        <w:rPr>
          <w:rFonts w:ascii="Times New Roman" w:hAnsi="Times New Roman" w:cs="Times New Roman"/>
          <w:sz w:val="28"/>
          <w:szCs w:val="28"/>
        </w:rPr>
        <w:t>объемы,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41BCF">
        <w:rPr>
          <w:rFonts w:ascii="Times New Roman" w:hAnsi="Times New Roman" w:cs="Times New Roman"/>
          <w:sz w:val="28"/>
          <w:szCs w:val="28"/>
        </w:rPr>
        <w:t xml:space="preserve"> будут заключаться договоры пользования</w:t>
      </w:r>
      <w:r w:rsidR="0049118A">
        <w:rPr>
          <w:rFonts w:ascii="Times New Roman" w:hAnsi="Times New Roman" w:cs="Times New Roman"/>
          <w:sz w:val="28"/>
          <w:szCs w:val="28"/>
        </w:rPr>
        <w:t xml:space="preserve"> </w:t>
      </w:r>
      <w:r w:rsidR="0049118A" w:rsidRPr="00E41BCF">
        <w:rPr>
          <w:rFonts w:ascii="Times New Roman" w:hAnsi="Times New Roman" w:cs="Times New Roman"/>
          <w:sz w:val="28"/>
          <w:szCs w:val="28"/>
        </w:rPr>
        <w:t>на 202</w:t>
      </w:r>
      <w:r w:rsidR="00D07408">
        <w:rPr>
          <w:rFonts w:ascii="Times New Roman" w:hAnsi="Times New Roman" w:cs="Times New Roman"/>
          <w:sz w:val="28"/>
          <w:szCs w:val="28"/>
        </w:rPr>
        <w:t>6</w:t>
      </w:r>
      <w:r w:rsidR="0049118A">
        <w:rPr>
          <w:rFonts w:ascii="Times New Roman" w:hAnsi="Times New Roman" w:cs="Times New Roman"/>
          <w:sz w:val="28"/>
          <w:szCs w:val="28"/>
        </w:rPr>
        <w:t xml:space="preserve"> </w:t>
      </w:r>
      <w:r w:rsidR="0049118A" w:rsidRPr="00E41BCF">
        <w:rPr>
          <w:rFonts w:ascii="Times New Roman" w:hAnsi="Times New Roman" w:cs="Times New Roman"/>
          <w:sz w:val="28"/>
          <w:szCs w:val="28"/>
        </w:rPr>
        <w:t>год</w:t>
      </w:r>
      <w:r w:rsidRPr="00E41BCF">
        <w:rPr>
          <w:rFonts w:ascii="Times New Roman" w:hAnsi="Times New Roman" w:cs="Times New Roman"/>
          <w:sz w:val="28"/>
          <w:szCs w:val="28"/>
        </w:rPr>
        <w:t>, определены приложением 1.</w:t>
      </w:r>
    </w:p>
    <w:p w:rsidR="00E41BCF" w:rsidRP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CF">
        <w:rPr>
          <w:rFonts w:ascii="Times New Roman" w:hAnsi="Times New Roman" w:cs="Times New Roman"/>
          <w:sz w:val="28"/>
          <w:szCs w:val="28"/>
        </w:rPr>
        <w:t>3. Сроки добычи (вылова) водных биологических ресурсов, 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доп</w:t>
      </w:r>
      <w:r w:rsidRPr="00E41BCF">
        <w:rPr>
          <w:rFonts w:ascii="Times New Roman" w:hAnsi="Times New Roman" w:cs="Times New Roman"/>
          <w:sz w:val="28"/>
          <w:szCs w:val="28"/>
        </w:rPr>
        <w:t>у</w:t>
      </w:r>
      <w:r w:rsidRPr="00E41BCF">
        <w:rPr>
          <w:rFonts w:ascii="Times New Roman" w:hAnsi="Times New Roman" w:cs="Times New Roman"/>
          <w:sz w:val="28"/>
          <w:szCs w:val="28"/>
        </w:rPr>
        <w:t>стимый улов которых не устанавливается, определяются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для Вол</w:t>
      </w:r>
      <w:r w:rsidRPr="00E41BCF">
        <w:rPr>
          <w:rFonts w:ascii="Times New Roman" w:hAnsi="Times New Roman" w:cs="Times New Roman"/>
          <w:sz w:val="28"/>
          <w:szCs w:val="28"/>
        </w:rPr>
        <w:t>ж</w:t>
      </w:r>
      <w:r w:rsidRPr="00E41BCF">
        <w:rPr>
          <w:rFonts w:ascii="Times New Roman" w:hAnsi="Times New Roman" w:cs="Times New Roman"/>
          <w:sz w:val="28"/>
          <w:szCs w:val="28"/>
        </w:rPr>
        <w:t xml:space="preserve">ско-Каспийского </w:t>
      </w:r>
      <w:proofErr w:type="spellStart"/>
      <w:r w:rsidRPr="00E41BCF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E41BCF">
        <w:rPr>
          <w:rFonts w:ascii="Times New Roman" w:hAnsi="Times New Roman" w:cs="Times New Roman"/>
          <w:sz w:val="28"/>
          <w:szCs w:val="28"/>
        </w:rPr>
        <w:t xml:space="preserve"> бассейна, утвержденные приказом  Ми</w:t>
      </w:r>
      <w:r w:rsidRPr="00E41BCF">
        <w:rPr>
          <w:rFonts w:ascii="Times New Roman" w:hAnsi="Times New Roman" w:cs="Times New Roman"/>
          <w:sz w:val="28"/>
          <w:szCs w:val="28"/>
        </w:rPr>
        <w:t>н</w:t>
      </w:r>
      <w:r w:rsidRPr="00E41BCF">
        <w:rPr>
          <w:rFonts w:ascii="Times New Roman" w:hAnsi="Times New Roman" w:cs="Times New Roman"/>
          <w:sz w:val="28"/>
          <w:szCs w:val="28"/>
        </w:rPr>
        <w:t>сельхоза России от 13.10.2022 № 695.</w:t>
      </w:r>
    </w:p>
    <w:p w:rsidR="00E41BCF" w:rsidRP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CF">
        <w:rPr>
          <w:rFonts w:ascii="Times New Roman" w:hAnsi="Times New Roman" w:cs="Times New Roman"/>
          <w:sz w:val="28"/>
          <w:szCs w:val="28"/>
        </w:rPr>
        <w:lastRenderedPageBreak/>
        <w:t>4. Виды водных биоресурсов внутренних вод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за исключением внутренних морских вод Российской Федерации, объемы и рай</w:t>
      </w:r>
      <w:r w:rsidRPr="00E41BCF">
        <w:rPr>
          <w:rFonts w:ascii="Times New Roman" w:hAnsi="Times New Roman" w:cs="Times New Roman"/>
          <w:sz w:val="28"/>
          <w:szCs w:val="28"/>
        </w:rPr>
        <w:t>о</w:t>
      </w:r>
      <w:r w:rsidRPr="00E41BCF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их добычи (вылова), в отношении которых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субъектов Российской Федерации будут заключаться договоры пользования</w:t>
      </w:r>
      <w:r w:rsidR="00D07408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Pr="00E41B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определены приложением 2.</w:t>
      </w: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Pr="00C72DED" w:rsidRDefault="00C72DED" w:rsidP="00C72D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2DE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72DED" w:rsidRP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72DED" w:rsidRP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видов водных биологических ресурсов внутренних морских вод Российской Федерации,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территориального моря Российской Федерации, исключител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ной экономической зоны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Федерации, континентального шел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фа Российской Федерации, Каспийского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моря, общий допустимый улов к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торых не устанавливается, объемов и районов их добычи</w:t>
      </w:r>
    </w:p>
    <w:p w:rsid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(вылова)</w:t>
      </w:r>
    </w:p>
    <w:p w:rsid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DED" w:rsidRPr="00B50797" w:rsidRDefault="00C72DED" w:rsidP="00C72DED">
      <w:pPr>
        <w:spacing w:after="0"/>
        <w:jc w:val="right"/>
        <w:rPr>
          <w:rFonts w:ascii="TimesNewRomanPSMT" w:hAnsi="TimesNewRomanPSMT" w:cs="TimesNewRomanPSMT"/>
          <w:sz w:val="26"/>
          <w:szCs w:val="24"/>
        </w:rPr>
      </w:pPr>
      <w:r w:rsidRPr="00B50797">
        <w:rPr>
          <w:rFonts w:ascii="TimesNewRomanPSMT" w:hAnsi="TimesNewRomanPSMT" w:cs="TimesNewRomanPSMT"/>
          <w:sz w:val="26"/>
          <w:szCs w:val="24"/>
        </w:rPr>
        <w:t>(тонн)</w:t>
      </w:r>
    </w:p>
    <w:p w:rsidR="00C72DED" w:rsidRPr="00B50797" w:rsidRDefault="00C72DED" w:rsidP="00C72DED">
      <w:pPr>
        <w:spacing w:after="0"/>
        <w:jc w:val="right"/>
        <w:rPr>
          <w:rFonts w:ascii="TimesNewRomanPSMT" w:hAnsi="TimesNewRomanPSMT" w:cs="TimesNewRomanPSMT"/>
          <w:sz w:val="26"/>
          <w:szCs w:val="24"/>
        </w:rPr>
      </w:pPr>
    </w:p>
    <w:p w:rsidR="00C72DED" w:rsidRPr="00B50797" w:rsidRDefault="00C72DED" w:rsidP="00C72DE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Таблица 3</w:t>
      </w: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Волжско-Каспийский рыбохозяйственный бассейн</w:t>
      </w: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Каспийское море</w:t>
      </w:r>
    </w:p>
    <w:p w:rsidR="00C72DED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A63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Амур белый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250,000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Атерина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6 298,450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Бычки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649,230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Густера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1 892,375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Жерех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1 196,120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Карась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9 893,203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Кефали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1 995,850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Килька </w:t>
      </w: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анчоусовидная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10 863,200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>Килька большеглазая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 w:rsidR="00212A63">
        <w:rPr>
          <w:rFonts w:ascii="Times New Roman" w:hAnsi="Times New Roman" w:cs="Times New Roman"/>
          <w:sz w:val="28"/>
          <w:szCs w:val="28"/>
        </w:rPr>
        <w:t xml:space="preserve">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149,040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Килька обыкновенная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77 759,100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Красноперка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5 278,279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Линь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12A63">
        <w:rPr>
          <w:rFonts w:ascii="Times New Roman" w:hAnsi="Times New Roman" w:cs="Times New Roman"/>
          <w:sz w:val="28"/>
          <w:szCs w:val="28"/>
        </w:rPr>
        <w:t xml:space="preserve">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223,340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Окунь пресноводный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2 188,264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Пузанок большеглазый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2 797,130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Пузанок каспийский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5 597,070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Рыбец (сырть)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619,367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D07408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07408">
        <w:rPr>
          <w:rFonts w:ascii="Times New Roman" w:hAnsi="Times New Roman" w:cs="Times New Roman"/>
          <w:sz w:val="28"/>
          <w:szCs w:val="28"/>
        </w:rPr>
        <w:t>ельдь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долгинская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6 891,870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Синец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18,160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Толстолобики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340,000</w:t>
      </w:r>
    </w:p>
    <w:p w:rsidR="00E41BCF" w:rsidRDefault="00D07408" w:rsidP="00D07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Чехонь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191,005</w:t>
      </w:r>
    </w:p>
    <w:p w:rsidR="00B50797" w:rsidRDefault="00B50797" w:rsidP="00B50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18A" w:rsidRDefault="0049118A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212A63" w:rsidRDefault="00212A63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ПЕРЕЧЕНЬ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 xml:space="preserve">видов водных биологических ресурсов внутренних вод 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Российской Федерации,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B50797">
        <w:rPr>
          <w:rFonts w:ascii="Times New Roman" w:hAnsi="Times New Roman" w:cs="Times New Roman"/>
          <w:b/>
          <w:bCs/>
          <w:sz w:val="28"/>
        </w:rPr>
        <w:t xml:space="preserve">за исключением внутренних морских вод 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Российской Федерации, общий допустимый улов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B50797">
        <w:rPr>
          <w:rFonts w:ascii="Times New Roman" w:hAnsi="Times New Roman" w:cs="Times New Roman"/>
          <w:b/>
          <w:bCs/>
          <w:sz w:val="28"/>
        </w:rPr>
        <w:t xml:space="preserve">которых </w:t>
      </w: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не устанавливается, объемов и районов их добычи (вылова)</w:t>
      </w:r>
    </w:p>
    <w:p w:rsidR="00B50797" w:rsidRDefault="00B50797" w:rsidP="00B50797">
      <w:pPr>
        <w:spacing w:after="0"/>
        <w:jc w:val="both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 xml:space="preserve"> </w:t>
      </w:r>
    </w:p>
    <w:p w:rsidR="00B50797" w:rsidRDefault="00B50797" w:rsidP="00B50797">
      <w:pPr>
        <w:spacing w:after="0"/>
        <w:jc w:val="right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>(тонн)</w:t>
      </w:r>
    </w:p>
    <w:p w:rsidR="00B50797" w:rsidRDefault="00B50797" w:rsidP="00B5079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50797" w:rsidRPr="00B50797" w:rsidRDefault="00B50797" w:rsidP="00B50797">
      <w:pPr>
        <w:spacing w:after="0"/>
        <w:jc w:val="right"/>
        <w:rPr>
          <w:rFonts w:ascii="Times New Roman" w:hAnsi="Times New Roman" w:cs="Times New Roman"/>
          <w:sz w:val="40"/>
        </w:rPr>
      </w:pPr>
      <w:r w:rsidRPr="00B50797">
        <w:rPr>
          <w:rFonts w:ascii="TimesNewRomanPS-BoldMT" w:hAnsi="TimesNewRomanPS-BoldMT" w:cs="TimesNewRomanPS-BoldMT"/>
          <w:b/>
          <w:bCs/>
          <w:sz w:val="28"/>
        </w:rPr>
        <w:t>Таблица 4</w:t>
      </w:r>
    </w:p>
    <w:p w:rsidR="00B50797" w:rsidRDefault="00B50797" w:rsidP="00B5079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Водные объекты Астраханской области</w:t>
      </w:r>
    </w:p>
    <w:p w:rsidR="00A02D21" w:rsidRPr="00B50797" w:rsidRDefault="00A02D21" w:rsidP="00B5079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B50797" w:rsidRDefault="00B50797" w:rsidP="00B5079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>Река Волга и ее водотоки</w:t>
      </w:r>
    </w:p>
    <w:p w:rsidR="00B50797" w:rsidRPr="00B50797" w:rsidRDefault="00B50797" w:rsidP="00B50797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19,850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4 998,020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Жерех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649,040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Чехонь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328,960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89,150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58,960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212A63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212A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998,380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419,230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Амур белый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59,370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1 398,540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898,550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12A63">
              <w:rPr>
                <w:rFonts w:ascii="Times New Roman" w:hAnsi="Times New Roman" w:cs="Times New Roman"/>
                <w:sz w:val="28"/>
              </w:rPr>
              <w:t>Бадяга</w:t>
            </w:r>
            <w:proofErr w:type="spellEnd"/>
            <w:r w:rsidRPr="00212A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39,700</w:t>
            </w:r>
          </w:p>
        </w:tc>
      </w:tr>
    </w:tbl>
    <w:p w:rsidR="00B50797" w:rsidRPr="00B50797" w:rsidRDefault="00B50797" w:rsidP="00B50797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C72DED" w:rsidRDefault="00A02D21" w:rsidP="00A02D21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  <w:r w:rsidRPr="00A02D21">
        <w:rPr>
          <w:rFonts w:ascii="TimesNewRomanPS-BoldMT" w:hAnsi="TimesNewRomanPS-BoldMT" w:cs="TimesNewRomanPS-BoldMT"/>
          <w:b/>
          <w:bCs/>
          <w:sz w:val="28"/>
        </w:rPr>
        <w:t xml:space="preserve">Таблица </w:t>
      </w:r>
      <w:r w:rsidR="00951FAB">
        <w:rPr>
          <w:rFonts w:ascii="TimesNewRomanPS-BoldMT" w:hAnsi="TimesNewRomanPS-BoldMT" w:cs="TimesNewRomanPS-BoldMT"/>
          <w:b/>
          <w:bCs/>
          <w:sz w:val="28"/>
        </w:rPr>
        <w:t>9</w:t>
      </w:r>
    </w:p>
    <w:p w:rsidR="00A02D21" w:rsidRDefault="00A02D21" w:rsidP="00A02D21">
      <w:pPr>
        <w:spacing w:after="0"/>
        <w:jc w:val="center"/>
        <w:rPr>
          <w:rFonts w:ascii="TimesNewRomanPS-BoldMT" w:hAnsi="TimesNewRomanPS-BoldMT" w:cs="TimesNewRomanPS-BoldMT"/>
          <w:b/>
          <w:bCs/>
          <w:sz w:val="28"/>
        </w:rPr>
      </w:pPr>
      <w:r w:rsidRPr="00A02D21">
        <w:rPr>
          <w:rFonts w:ascii="TimesNewRomanPS-BoldMT" w:hAnsi="TimesNewRomanPS-BoldMT" w:cs="TimesNewRomanPS-BoldMT"/>
          <w:b/>
          <w:bCs/>
          <w:sz w:val="28"/>
        </w:rPr>
        <w:t>Водные объекты Волгоградской области</w:t>
      </w:r>
    </w:p>
    <w:p w:rsidR="00A02D21" w:rsidRDefault="00A02D21" w:rsidP="00A02D21">
      <w:pPr>
        <w:spacing w:after="0"/>
        <w:jc w:val="center"/>
        <w:rPr>
          <w:rFonts w:ascii="TimesNewRomanPS-BoldMT" w:hAnsi="TimesNewRomanPS-BoldMT" w:cs="TimesNewRomanPS-BoldMT"/>
          <w:b/>
          <w:bCs/>
          <w:sz w:val="28"/>
        </w:rPr>
      </w:pPr>
    </w:p>
    <w:p w:rsidR="00A02D21" w:rsidRDefault="00A02D21" w:rsidP="00A02D21">
      <w:pPr>
        <w:spacing w:after="0"/>
        <w:jc w:val="center"/>
        <w:rPr>
          <w:rFonts w:ascii="TimesNewRomanPSMT" w:hAnsi="TimesNewRomanPSMT" w:cs="TimesNewRomanPSMT"/>
          <w:sz w:val="28"/>
        </w:rPr>
      </w:pPr>
      <w:proofErr w:type="spellStart"/>
      <w:r w:rsidRPr="00A02D21">
        <w:rPr>
          <w:rFonts w:ascii="TimesNewRomanPSMT" w:hAnsi="TimesNewRomanPSMT" w:cs="TimesNewRomanPSMT"/>
          <w:sz w:val="28"/>
        </w:rPr>
        <w:t>Сарпинские</w:t>
      </w:r>
      <w:proofErr w:type="spellEnd"/>
      <w:r w:rsidRPr="00A02D21">
        <w:rPr>
          <w:rFonts w:ascii="TimesNewRomanPSMT" w:hAnsi="TimesNewRomanPSMT" w:cs="TimesNewRomanPSMT"/>
          <w:sz w:val="28"/>
        </w:rPr>
        <w:t xml:space="preserve"> озера</w:t>
      </w:r>
    </w:p>
    <w:p w:rsidR="00A02D21" w:rsidRDefault="00A02D21" w:rsidP="00A02D21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2,150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10,600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0,650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1,100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1,550</w:t>
            </w:r>
          </w:p>
        </w:tc>
      </w:tr>
      <w:tr w:rsidR="00A02D21" w:rsidRPr="00A02D21" w:rsidTr="00A02D21">
        <w:tc>
          <w:tcPr>
            <w:tcW w:w="4983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984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A02D21" w:rsidRPr="00A02D21" w:rsidTr="00A02D21">
        <w:tc>
          <w:tcPr>
            <w:tcW w:w="4983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984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 w:rsidR="00FF069C" w:rsidRP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lastRenderedPageBreak/>
        <w:t>Водохранилища ВДСК</w:t>
      </w:r>
    </w:p>
    <w:p w:rsidR="00A02D21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t>(Волго-Донского судоходного канала)</w:t>
      </w: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35,300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35,500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1,900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2,600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proofErr w:type="spellStart"/>
            <w:r w:rsidRPr="00951FAB">
              <w:rPr>
                <w:rFonts w:ascii="TimesNewRomanPSMT" w:hAnsi="TimesNewRomanPSMT" w:cs="TimesNewRomanPSMT"/>
                <w:sz w:val="28"/>
              </w:rPr>
              <w:t>Густера</w:t>
            </w:r>
            <w:proofErr w:type="spellEnd"/>
            <w:r w:rsidRPr="00951FAB">
              <w:rPr>
                <w:rFonts w:ascii="TimesNewRomanPSMT" w:hAnsi="TimesNewRomanPSMT" w:cs="TimesNewRomanPSMT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6,700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5,700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13,500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29,200</w:t>
            </w:r>
          </w:p>
        </w:tc>
      </w:tr>
    </w:tbl>
    <w:p w:rsidR="00A02D21" w:rsidRDefault="00A02D21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t>Волгоградское водохранилище</w:t>
      </w:r>
    </w:p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229,850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273,750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Жерех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36,850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Язь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28,900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Чехонь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206,850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9,950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Амур белый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6,000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61,000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Рыбец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44,900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313,600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Белоглазка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Голавль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6,930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36,950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91,950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239,900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Берш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503,400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Налим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4,900</w:t>
            </w:r>
          </w:p>
        </w:tc>
      </w:tr>
    </w:tbl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FF069C" w:rsidRDefault="00FF069C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  <w:r w:rsidRPr="00FF069C">
        <w:rPr>
          <w:rFonts w:ascii="TimesNewRomanPS-BoldMT" w:hAnsi="TimesNewRomanPS-BoldMT" w:cs="TimesNewRomanPS-BoldMT"/>
          <w:b/>
          <w:bCs/>
          <w:sz w:val="28"/>
        </w:rPr>
        <w:lastRenderedPageBreak/>
        <w:t xml:space="preserve">Таблица </w:t>
      </w:r>
      <w:r w:rsidR="004B1B44">
        <w:rPr>
          <w:rFonts w:ascii="TimesNewRomanPS-BoldMT" w:hAnsi="TimesNewRomanPS-BoldMT" w:cs="TimesNewRomanPS-BoldMT"/>
          <w:b/>
          <w:bCs/>
          <w:sz w:val="28"/>
        </w:rPr>
        <w:t>18</w:t>
      </w:r>
    </w:p>
    <w:p w:rsidR="00FF069C" w:rsidRDefault="00FF069C" w:rsidP="00F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F069C">
        <w:rPr>
          <w:rFonts w:ascii="Times New Roman" w:hAnsi="Times New Roman" w:cs="Times New Roman"/>
          <w:b/>
          <w:bCs/>
          <w:sz w:val="28"/>
        </w:rPr>
        <w:t>Водные объекты Республики Калмыкия</w:t>
      </w:r>
    </w:p>
    <w:p w:rsidR="00FF069C" w:rsidRPr="00FF069C" w:rsidRDefault="00FF069C" w:rsidP="00F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FF069C">
        <w:rPr>
          <w:rFonts w:ascii="Times New Roman" w:hAnsi="Times New Roman" w:cs="Times New Roman"/>
          <w:sz w:val="28"/>
        </w:rPr>
        <w:t>Чограйское</w:t>
      </w:r>
      <w:proofErr w:type="spellEnd"/>
      <w:r w:rsidRPr="00FF069C">
        <w:rPr>
          <w:rFonts w:ascii="Times New Roman" w:hAnsi="Times New Roman" w:cs="Times New Roman"/>
          <w:sz w:val="28"/>
        </w:rPr>
        <w:t xml:space="preserve"> водохранилище</w:t>
      </w: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12,585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39,785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6,793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44,641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1,091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1,245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3,741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54,042</w:t>
            </w:r>
          </w:p>
        </w:tc>
      </w:tr>
    </w:tbl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Default="00872062" w:rsidP="00FF069C">
      <w:pPr>
        <w:spacing w:after="0"/>
        <w:jc w:val="center"/>
        <w:rPr>
          <w:rFonts w:ascii="TimesNewRomanPSMT" w:hAnsi="TimesNewRomanPSMT" w:cs="TimesNewRomanPSMT"/>
          <w:sz w:val="28"/>
        </w:rPr>
      </w:pPr>
      <w:r w:rsidRPr="00872062">
        <w:rPr>
          <w:rFonts w:ascii="TimesNewRomanPSMT" w:hAnsi="TimesNewRomanPSMT" w:cs="TimesNewRomanPSMT"/>
          <w:sz w:val="28"/>
        </w:rPr>
        <w:t>Озеро Лысый Лиман</w:t>
      </w:r>
    </w:p>
    <w:p w:rsidR="00872062" w:rsidRDefault="00872062" w:rsidP="00FF069C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4,675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4,612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3,915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26,525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73459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73459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1,885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1,748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1,095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7,697</w:t>
            </w:r>
          </w:p>
        </w:tc>
      </w:tr>
    </w:tbl>
    <w:p w:rsidR="00872062" w:rsidRDefault="00872062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824" w:rsidRDefault="006C3824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73459B">
      <w:pPr>
        <w:spacing w:after="0"/>
        <w:jc w:val="center"/>
        <w:rPr>
          <w:rFonts w:ascii="TimesNewRomanPSMT" w:hAnsi="TimesNewRomanPSMT" w:cs="TimesNewRomanPSMT"/>
          <w:sz w:val="28"/>
        </w:rPr>
      </w:pPr>
      <w:r w:rsidRPr="0073459B">
        <w:rPr>
          <w:rFonts w:ascii="TimesNewRomanPSMT" w:hAnsi="TimesNewRomanPSMT" w:cs="TimesNewRomanPSMT"/>
          <w:sz w:val="28"/>
        </w:rPr>
        <w:t xml:space="preserve">Залив </w:t>
      </w:r>
      <w:proofErr w:type="spellStart"/>
      <w:r w:rsidRPr="0073459B">
        <w:rPr>
          <w:rFonts w:ascii="TimesNewRomanPSMT" w:hAnsi="TimesNewRomanPSMT" w:cs="TimesNewRomanPSMT"/>
          <w:sz w:val="28"/>
        </w:rPr>
        <w:t>Стройманыч</w:t>
      </w:r>
      <w:proofErr w:type="spellEnd"/>
      <w:r w:rsidRPr="0073459B">
        <w:rPr>
          <w:rFonts w:ascii="TimesNewRomanPSMT" w:hAnsi="TimesNewRomanPSMT" w:cs="TimesNewRomanPSMT"/>
          <w:sz w:val="28"/>
        </w:rPr>
        <w:t xml:space="preserve"> озера </w:t>
      </w:r>
      <w:proofErr w:type="spellStart"/>
      <w:r w:rsidRPr="0073459B">
        <w:rPr>
          <w:rFonts w:ascii="TimesNewRomanPSMT" w:hAnsi="TimesNewRomanPSMT" w:cs="TimesNewRomanPSMT"/>
          <w:sz w:val="28"/>
        </w:rPr>
        <w:t>Маныч-Гудило</w:t>
      </w:r>
      <w:proofErr w:type="spellEnd"/>
    </w:p>
    <w:p w:rsidR="0073459B" w:rsidRDefault="0073459B" w:rsidP="0073459B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1,115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0,624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2,087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15,280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0,675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5,277</w:t>
            </w:r>
          </w:p>
        </w:tc>
      </w:tr>
    </w:tbl>
    <w:p w:rsidR="0073459B" w:rsidRPr="0085666A" w:rsidRDefault="0073459B" w:rsidP="007345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P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062">
        <w:rPr>
          <w:rFonts w:ascii="Times New Roman" w:hAnsi="Times New Roman" w:cs="Times New Roman"/>
          <w:sz w:val="28"/>
          <w:szCs w:val="28"/>
        </w:rPr>
        <w:t>Пролетарское водохранилище</w:t>
      </w: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062">
        <w:rPr>
          <w:rFonts w:ascii="Times New Roman" w:hAnsi="Times New Roman" w:cs="Times New Roman"/>
          <w:sz w:val="28"/>
          <w:szCs w:val="28"/>
        </w:rPr>
        <w:t>(от Ново-</w:t>
      </w:r>
      <w:proofErr w:type="spellStart"/>
      <w:r w:rsidRPr="00872062">
        <w:rPr>
          <w:rFonts w:ascii="Times New Roman" w:hAnsi="Times New Roman" w:cs="Times New Roman"/>
          <w:sz w:val="28"/>
          <w:szCs w:val="28"/>
        </w:rPr>
        <w:t>Манычской</w:t>
      </w:r>
      <w:proofErr w:type="spellEnd"/>
      <w:r w:rsidRPr="00872062">
        <w:rPr>
          <w:rFonts w:ascii="Times New Roman" w:hAnsi="Times New Roman" w:cs="Times New Roman"/>
          <w:sz w:val="28"/>
          <w:szCs w:val="28"/>
        </w:rPr>
        <w:t xml:space="preserve"> дамбы до меридиана 42°15´Е)</w:t>
      </w: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0,500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Тарань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4,450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11,900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0,750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1,250</w:t>
            </w:r>
          </w:p>
        </w:tc>
      </w:tr>
    </w:tbl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824" w:rsidRDefault="006C3824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</w:p>
    <w:p w:rsidR="00872062" w:rsidRDefault="00872062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  <w:proofErr w:type="spellStart"/>
      <w:r w:rsidRPr="00872062">
        <w:rPr>
          <w:rFonts w:ascii="TimesNewRomanPSMT" w:hAnsi="TimesNewRomanPSMT" w:cs="TimesNewRomanPSMT"/>
          <w:sz w:val="28"/>
        </w:rPr>
        <w:t>Состинские</w:t>
      </w:r>
      <w:proofErr w:type="spellEnd"/>
      <w:r w:rsidRPr="00872062">
        <w:rPr>
          <w:rFonts w:ascii="TimesNewRomanPSMT" w:hAnsi="TimesNewRomanPSMT" w:cs="TimesNewRomanPSMT"/>
          <w:sz w:val="28"/>
        </w:rPr>
        <w:t xml:space="preserve"> озера</w:t>
      </w:r>
    </w:p>
    <w:p w:rsidR="00872062" w:rsidRDefault="00872062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15,350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12,150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12,350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3,300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5,400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1,900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Щука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1,300</w:t>
            </w:r>
          </w:p>
        </w:tc>
      </w:tr>
    </w:tbl>
    <w:p w:rsidR="00872062" w:rsidRPr="0085666A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72062" w:rsidRPr="0085666A" w:rsidSect="00E41BCF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9070000" w:usb2="00000010" w:usb3="00000000" w:csb0="000A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CF"/>
    <w:rsid w:val="000A0A11"/>
    <w:rsid w:val="00212A63"/>
    <w:rsid w:val="0049118A"/>
    <w:rsid w:val="004B1B44"/>
    <w:rsid w:val="006C3824"/>
    <w:rsid w:val="0073459B"/>
    <w:rsid w:val="0085666A"/>
    <w:rsid w:val="00872062"/>
    <w:rsid w:val="00951FAB"/>
    <w:rsid w:val="00A02D21"/>
    <w:rsid w:val="00B50797"/>
    <w:rsid w:val="00B830B0"/>
    <w:rsid w:val="00BB6095"/>
    <w:rsid w:val="00C72DED"/>
    <w:rsid w:val="00D07408"/>
    <w:rsid w:val="00E41BCF"/>
    <w:rsid w:val="00FA5460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6</cp:revision>
  <dcterms:created xsi:type="dcterms:W3CDTF">2023-11-10T09:22:00Z</dcterms:created>
  <dcterms:modified xsi:type="dcterms:W3CDTF">2025-11-01T05:59:00Z</dcterms:modified>
</cp:coreProperties>
</file>