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BE52C4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BE52C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BE52C4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A92A47">
              <w:rPr>
                <w:rFonts w:ascii="Times New Roman" w:hAnsi="Times New Roman" w:cs="Times New Roman"/>
                <w:bCs/>
                <w:sz w:val="24"/>
                <w:szCs w:val="24"/>
              </w:rPr>
              <w:t>ября</w:t>
            </w:r>
            <w:r w:rsidR="006D0F08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D65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50847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52C4">
              <w:rPr>
                <w:rFonts w:ascii="Times New Roman" w:hAnsi="Times New Roman" w:cs="Times New Roman"/>
                <w:bCs/>
                <w:sz w:val="24"/>
                <w:szCs w:val="24"/>
              </w:rPr>
              <w:t>451</w:t>
            </w:r>
          </w:p>
        </w:tc>
      </w:tr>
    </w:tbl>
    <w:p w:rsidR="008D4E1F" w:rsidRPr="00836EA6" w:rsidRDefault="008D4E1F" w:rsidP="00105FF2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BE5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Калмыкия</w:t>
      </w: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4D7773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BE52C4">
        <w:rPr>
          <w:rFonts w:ascii="Times New Roman" w:hAnsi="Times New Roman" w:cs="Times New Roman"/>
          <w:sz w:val="24"/>
          <w:szCs w:val="24"/>
        </w:rPr>
        <w:t>15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BE52C4">
        <w:rPr>
          <w:rFonts w:ascii="Times New Roman" w:hAnsi="Times New Roman" w:cs="Times New Roman"/>
          <w:sz w:val="24"/>
          <w:szCs w:val="24"/>
        </w:rPr>
        <w:t>но</w:t>
      </w:r>
      <w:r w:rsidR="004D7773">
        <w:rPr>
          <w:rFonts w:ascii="Times New Roman" w:hAnsi="Times New Roman" w:cs="Times New Roman"/>
          <w:sz w:val="24"/>
          <w:szCs w:val="24"/>
        </w:rPr>
        <w:t>ября</w:t>
      </w:r>
      <w:r w:rsidRPr="00173D0F">
        <w:rPr>
          <w:rFonts w:ascii="Times New Roman" w:hAnsi="Times New Roman" w:cs="Times New Roman"/>
          <w:sz w:val="24"/>
          <w:szCs w:val="24"/>
        </w:rPr>
        <w:t xml:space="preserve"> 2016 г. №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BE52C4">
        <w:rPr>
          <w:rFonts w:ascii="Times New Roman" w:hAnsi="Times New Roman" w:cs="Times New Roman"/>
          <w:sz w:val="24"/>
          <w:szCs w:val="24"/>
        </w:rPr>
        <w:t>451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105FF2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105FF2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BE52C4">
        <w:rPr>
          <w:sz w:val="24"/>
          <w:szCs w:val="24"/>
        </w:rPr>
        <w:t>1</w:t>
      </w:r>
      <w:r w:rsidRPr="003955DC">
        <w:rPr>
          <w:sz w:val="24"/>
          <w:szCs w:val="24"/>
        </w:rPr>
        <w:t>.</w:t>
      </w:r>
    </w:p>
    <w:p w:rsidR="00461092" w:rsidRPr="00102DDC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4961"/>
        <w:gridCol w:w="1276"/>
      </w:tblGrid>
      <w:tr w:rsidR="00384411" w:rsidRPr="00A92A47" w:rsidTr="00384411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BE52C4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384411" w:rsidRPr="00A92A47" w:rsidRDefault="00384411" w:rsidP="00BE52C4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BE52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384411" w:rsidRPr="00A92A47" w:rsidRDefault="00384411" w:rsidP="00BE52C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1" w:rsidRPr="00A92A47" w:rsidRDefault="00384411" w:rsidP="00BE52C4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BE52C4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BE52C4">
            <w:pPr>
              <w:pStyle w:val="ConsPlusCell"/>
              <w:keepNext/>
              <w:suppressAutoHyphens w:val="0"/>
              <w:snapToGrid w:val="0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BE52C4" w:rsidRPr="00A92A47" w:rsidTr="00BE52C4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4" w:rsidRPr="00A92A47" w:rsidRDefault="00BE52C4" w:rsidP="00BE52C4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4" w:rsidRPr="00253C75" w:rsidRDefault="00BE52C4" w:rsidP="00BE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Ялмата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4" w:rsidRPr="00253C75" w:rsidRDefault="00BE52C4" w:rsidP="00BE52C4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Ялмата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Малодербетовск</w:t>
            </w:r>
            <w:r>
              <w:rPr>
                <w:rFonts w:ascii="Times New Roman" w:hAnsi="Times New Roman" w:cs="Times New Roman"/>
                <w:spacing w:val="-2"/>
              </w:rPr>
              <w:t>ий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 xml:space="preserve">Рыбоводный участок расположен в 8,5 км на юг от пос.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Тундутово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Малодербетовского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  <w:proofErr w:type="gramStart"/>
            <w:r w:rsidRPr="00840AF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Р</w:t>
            </w:r>
            <w:proofErr w:type="gramEnd"/>
            <w:r w:rsidRPr="00840AFF">
              <w:rPr>
                <w:rFonts w:ascii="Times New Roman" w:hAnsi="Times New Roman" w:cs="Times New Roman"/>
                <w:spacing w:val="-2"/>
              </w:rPr>
              <w:t>есп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. Калмыкия. Границы участка определены по водному пространству последовательным соединением: </w:t>
            </w:r>
            <w:proofErr w:type="gramStart"/>
            <w:r w:rsidRPr="00840AFF">
              <w:rPr>
                <w:rFonts w:ascii="Times New Roman" w:hAnsi="Times New Roman" w:cs="Times New Roman"/>
                <w:spacing w:val="-2"/>
              </w:rPr>
              <w:t>От точки 1 до точки 2 - по береговой линии; От точки 2 до точки 3 - по прямой линии; От точки 3 до точки 4 - по прямой линии; От точки 4 до точки 5 - по береговой линии; От точки 5 до точки 6 - по береговой линии; От точки 6 до точки 7 - по прямой линии;</w:t>
            </w:r>
            <w:proofErr w:type="gramEnd"/>
            <w:r w:rsidRPr="00840AFF">
              <w:rPr>
                <w:rFonts w:ascii="Times New Roman" w:hAnsi="Times New Roman" w:cs="Times New Roman"/>
                <w:spacing w:val="-2"/>
              </w:rPr>
              <w:t xml:space="preserve"> От точки 7 до точки 8 - по береговой линии; От точки 8 до точки 9 - по береговой линии; От точки 9 до точки 10 - по прямой линии; От точки 10 до точки 11 - по береговой линии; От точки 11 до точки 1 - по береговой линии;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1. 47°52'27.50"С 44°36'5.36"В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 xml:space="preserve">2. 47°52'15.25"С 44°36'0.96"В 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3. 47°52'16.56"С 44°35'48.99"В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4. 47°52'10.50"С 44°35'55.26"В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5. 47°52'1.02"С 44°34'17.56"В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6. 47°52'17.88"С 44°34'11.08"В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7. 47°52'38.46"С 44°34'2.09"В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lastRenderedPageBreak/>
              <w:t>8. 47°52'36.84"С 44°35'12.15"В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9. 47°52'51.47"С 44°35'14.56"В</w:t>
            </w:r>
          </w:p>
          <w:p w:rsidR="00BE52C4" w:rsidRPr="00840AFF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10.47°52'51.</w:t>
            </w:r>
            <w:r>
              <w:rPr>
                <w:rFonts w:ascii="Times New Roman" w:hAnsi="Times New Roman" w:cs="Times New Roman"/>
                <w:spacing w:val="-2"/>
              </w:rPr>
              <w:t>83</w:t>
            </w:r>
            <w:r w:rsidRPr="00840AFF">
              <w:rPr>
                <w:rFonts w:ascii="Times New Roman" w:hAnsi="Times New Roman" w:cs="Times New Roman"/>
                <w:spacing w:val="-2"/>
              </w:rPr>
              <w:t>"С 44°35'1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840AFF"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>99</w:t>
            </w:r>
            <w:r w:rsidRPr="00840AFF">
              <w:rPr>
                <w:rFonts w:ascii="Times New Roman" w:hAnsi="Times New Roman" w:cs="Times New Roman"/>
                <w:spacing w:val="-2"/>
              </w:rPr>
              <w:t>"В</w:t>
            </w:r>
          </w:p>
          <w:p w:rsidR="00BE52C4" w:rsidRPr="00253C75" w:rsidRDefault="00BE52C4" w:rsidP="00BE52C4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11.47°52'40.67"С 44°35'31.41"В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4" w:rsidRPr="00253C75" w:rsidRDefault="00BE52C4" w:rsidP="00BE52C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3C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253C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</w:tbl>
    <w:p w:rsidR="00102DDC" w:rsidRDefault="00102DDC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D604F2">
        <w:rPr>
          <w:rFonts w:ascii="Times New Roman" w:hAnsi="Times New Roman" w:cs="Times New Roman"/>
          <w:sz w:val="24"/>
          <w:szCs w:val="24"/>
        </w:rPr>
        <w:t>102,60</w:t>
      </w:r>
      <w:bookmarkStart w:id="0" w:name="_GoBack"/>
      <w:bookmarkEnd w:id="0"/>
      <w:r w:rsidR="003E1FCD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8B1478">
        <w:rPr>
          <w:rFonts w:ascii="Times New Roman" w:hAnsi="Times New Roman" w:cs="Times New Roman"/>
          <w:sz w:val="24"/>
          <w:szCs w:val="24"/>
        </w:rPr>
        <w:t>руб.</w:t>
      </w:r>
      <w:r w:rsidR="0094654A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1D9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</w:t>
      </w:r>
      <w:r w:rsidRPr="006C2E58">
        <w:rPr>
          <w:rFonts w:ascii="Times New Roman" w:hAnsi="Times New Roman" w:cs="Times New Roman"/>
          <w:sz w:val="24"/>
          <w:szCs w:val="24"/>
        </w:rPr>
        <w:t xml:space="preserve">) </w:t>
      </w:r>
      <w:r w:rsidR="00BE52C4">
        <w:rPr>
          <w:rFonts w:ascii="Times New Roman" w:hAnsi="Times New Roman" w:cs="Times New Roman"/>
          <w:sz w:val="24"/>
          <w:szCs w:val="24"/>
        </w:rPr>
        <w:t>16 ноября</w:t>
      </w:r>
      <w:r w:rsidRPr="0010468A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6C2E58">
        <w:rPr>
          <w:rFonts w:ascii="Times New Roman" w:hAnsi="Times New Roman" w:cs="Times New Roman"/>
          <w:sz w:val="24"/>
          <w:szCs w:val="24"/>
        </w:rPr>
        <w:t xml:space="preserve"> до 13:00</w:t>
      </w:r>
      <w:r w:rsidRPr="009D359B">
        <w:rPr>
          <w:rFonts w:ascii="Times New Roman" w:hAnsi="Times New Roman" w:cs="Times New Roman"/>
          <w:sz w:val="24"/>
          <w:szCs w:val="24"/>
        </w:rPr>
        <w:t xml:space="preserve"> (местное время) </w:t>
      </w:r>
      <w:r w:rsidR="00BE52C4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  <w:r w:rsidRPr="003955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755E" w:rsidRPr="00980D40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BE52C4"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16:30 часов перерыв с 13:00 до 14:00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 xml:space="preserve">При внесении изменений в извещение о проведении аукциона срок подачи заявок об участии </w:t>
      </w:r>
      <w:r w:rsidRPr="00836EA6">
        <w:lastRenderedPageBreak/>
        <w:t>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C17398">
        <w:rPr>
          <w:rFonts w:ascii="Times New Roman" w:hAnsi="Times New Roman" w:cs="Times New Roman"/>
          <w:sz w:val="24"/>
          <w:szCs w:val="24"/>
        </w:rPr>
        <w:t>1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C1739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D359B" w:rsidRPr="009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398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9D35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C1739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C17398" w:rsidRPr="009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398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F37698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2016 г. с </w:t>
      </w:r>
      <w:r w:rsidR="00C17398">
        <w:rPr>
          <w:rFonts w:ascii="Times New Roman" w:hAnsi="Times New Roman" w:cs="Times New Roman"/>
          <w:sz w:val="24"/>
          <w:szCs w:val="24"/>
        </w:rPr>
        <w:t>10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C17398">
        <w:rPr>
          <w:rFonts w:ascii="Times New Roman" w:hAnsi="Times New Roman" w:cs="Times New Roman"/>
          <w:sz w:val="24"/>
          <w:szCs w:val="24"/>
        </w:rPr>
        <w:t>10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Default="00781313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F82354" w:rsidRDefault="00F82354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8"/>
        <w:gridCol w:w="1559"/>
        <w:gridCol w:w="1984"/>
        <w:gridCol w:w="1843"/>
      </w:tblGrid>
      <w:tr w:rsidR="00F82354" w:rsidRPr="004835DA" w:rsidTr="00F82354">
        <w:trPr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C17398" w:rsidRPr="004835DA" w:rsidTr="00AE3FBC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98" w:rsidRPr="00F82354" w:rsidRDefault="00C17398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98" w:rsidRPr="00253C75" w:rsidRDefault="00C17398" w:rsidP="008D19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Ялмата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8" w:rsidRPr="00253C75" w:rsidRDefault="00C17398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398" w:rsidRPr="00253C75" w:rsidRDefault="00C17398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8" w:rsidRPr="00253C75" w:rsidRDefault="00C17398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3680,00</w:t>
            </w:r>
          </w:p>
        </w:tc>
      </w:tr>
    </w:tbl>
    <w:p w:rsidR="009D359B" w:rsidRDefault="009D35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8B08E2" w:rsidRPr="0034476B" w:rsidRDefault="008D4E1F" w:rsidP="008B08E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B08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3D2A8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Ялмата</w:t>
      </w:r>
      <w:proofErr w:type="spellEnd"/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B08E2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Pr="008B08E2">
        <w:rPr>
          <w:rFonts w:ascii="Times New Roman" w:eastAsia="Times New Roman" w:hAnsi="Times New Roman" w:cs="Times New Roman"/>
          <w:sz w:val="24"/>
          <w:szCs w:val="24"/>
        </w:rPr>
        <w:t>Ялмата</w:t>
      </w:r>
      <w:proofErr w:type="spellEnd"/>
      <w:r w:rsidRPr="008B0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DC3DF3" w:rsidRPr="00DC3DF3" w:rsidRDefault="00245C05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 xml:space="preserve"> 8,5 км на юг от пос. </w:t>
      </w:r>
      <w:proofErr w:type="spellStart"/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>Тундутово</w:t>
      </w:r>
      <w:proofErr w:type="spellEnd"/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>Малодерб</w:t>
      </w:r>
      <w:r>
        <w:rPr>
          <w:rFonts w:ascii="Times New Roman" w:eastAsia="Times New Roman" w:hAnsi="Times New Roman" w:cs="Times New Roman"/>
          <w:sz w:val="24"/>
          <w:szCs w:val="24"/>
        </w:rPr>
        <w:t>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Калмыкия, площадь 230 га.</w:t>
      </w:r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 xml:space="preserve"> Границы участка определены по водному пространству последовательным соединением: </w:t>
      </w:r>
      <w:proofErr w:type="gramStart"/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>От точки 1 до точки 2 - по береговой линии; От точки 2 до точки 3 - по прямой линии; От точки 3 до точки 4 - по прямой линии; От точки 4 до точки 5 - по береговой линии; От точки 5 до точки 6 - по береговой линии; От точки 6 до точки 7 - по прямой линии;</w:t>
      </w:r>
      <w:proofErr w:type="gramEnd"/>
      <w:r w:rsidR="00DC3DF3" w:rsidRPr="00DC3DF3">
        <w:rPr>
          <w:rFonts w:ascii="Times New Roman" w:eastAsia="Times New Roman" w:hAnsi="Times New Roman" w:cs="Times New Roman"/>
          <w:sz w:val="24"/>
          <w:szCs w:val="24"/>
        </w:rPr>
        <w:t xml:space="preserve"> От точки 7 до точки 8 - по береговой линии; От точки 8 до точки 9 - по береговой линии; От точки 9 до точки 10 - по прямой линии; От точки 10 до точки 11 - по береговой линии; От точки 11 до точки 1 - по береговой линии;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1. 47°52'27.50"С 44°36'5.36"В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2. 47°52'15.25"С 44°36'0.96"В 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3. 47°52'16.56"С 44°35'48.99"В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4. 47°52'10.50"С 44°35'55.26"В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5. 47°52'1.02"С 44°34'17.56"В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6. 47°52'17.88"С 44°34'11.08"В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7. 47°52'38.46"С 44°34'2.09"В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8. 47°52'36.84"С 44°35'12.15"В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9. 47°52'51.47"С 44°35'14.56"В</w:t>
      </w:r>
    </w:p>
    <w:p w:rsidR="00DC3DF3" w:rsidRP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10.47°52'51.83"С 44°35'16.99"В</w:t>
      </w:r>
    </w:p>
    <w:p w:rsidR="00DC3DF3" w:rsidRDefault="00DC3DF3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11.47°52'40.67"С 44°35'31.41"В</w:t>
      </w:r>
    </w:p>
    <w:p w:rsidR="008B08E2" w:rsidRPr="0034476B" w:rsidRDefault="008B08E2" w:rsidP="00DC3DF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7368E" w:rsidRPr="0047368E" w:rsidRDefault="008B08E2" w:rsidP="0047368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Кутум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Rutilus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frisii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kutum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Silurus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glanis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Sander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lucioperca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8B08E2" w:rsidRPr="00386414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08E2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B08E2" w:rsidRPr="007D4EFA" w:rsidRDefault="008B08E2" w:rsidP="008B08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6310F2">
        <w:rPr>
          <w:rFonts w:ascii="Times New Roman" w:hAnsi="Times New Roman" w:cs="Times New Roman"/>
          <w:sz w:val="24"/>
          <w:szCs w:val="24"/>
          <w:u w:val="single"/>
        </w:rPr>
        <w:t>23,0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B08E2" w:rsidRPr="003E006A" w:rsidRDefault="008B08E2" w:rsidP="008B08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lastRenderedPageBreak/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310F2">
        <w:rPr>
          <w:rFonts w:ascii="Times New Roman" w:hAnsi="Times New Roman" w:cs="Times New Roman"/>
          <w:sz w:val="24"/>
          <w:szCs w:val="24"/>
        </w:rPr>
        <w:t>11,5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6310F2">
        <w:rPr>
          <w:rFonts w:ascii="Times New Roman" w:hAnsi="Times New Roman" w:cs="Times New Roman"/>
          <w:sz w:val="24"/>
          <w:szCs w:val="24"/>
        </w:rPr>
        <w:t>23,0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B08E2" w:rsidRPr="003E006A" w:rsidRDefault="008B08E2" w:rsidP="008B08E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8B08E2" w:rsidRPr="0034476B" w:rsidRDefault="008B08E2" w:rsidP="008B08E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B08E2" w:rsidRDefault="008B08E2" w:rsidP="008B08E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сторона не вправе ссылаться на наступление обстоятельств непреодолимой силы.</w:t>
      </w:r>
    </w:p>
    <w:p w:rsidR="008B08E2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8B08E2" w:rsidRDefault="008B08E2" w:rsidP="008B08E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D2A8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Ялмата</w:t>
      </w:r>
      <w:proofErr w:type="spellEnd"/>
    </w:p>
    <w:p w:rsidR="007B3BE4" w:rsidRDefault="00303CD4" w:rsidP="008B08E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BB5A5F" wp14:editId="2E86B073">
            <wp:extent cx="6480175" cy="4340230"/>
            <wp:effectExtent l="0" t="0" r="0" b="0"/>
            <wp:docPr id="2" name="Рисунок 2" descr="C:\Users\1\Pictures\Ямал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Ямалт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C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0175" cy="4340230"/>
            <wp:effectExtent l="0" t="0" r="0" b="0"/>
            <wp:docPr id="1" name="Рисунок 1" descr="C:\Users\1\Pictures\Ямал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Ямалт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BE4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1D1B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A0724"/>
    <w:rsid w:val="000A0D65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237E"/>
    <w:rsid w:val="00242B0E"/>
    <w:rsid w:val="00245C05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3CD4"/>
    <w:rsid w:val="00307F3E"/>
    <w:rsid w:val="00310BCC"/>
    <w:rsid w:val="003165B7"/>
    <w:rsid w:val="00320B21"/>
    <w:rsid w:val="003266EB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7368E"/>
    <w:rsid w:val="004820D8"/>
    <w:rsid w:val="004836C5"/>
    <w:rsid w:val="0049111C"/>
    <w:rsid w:val="00496C07"/>
    <w:rsid w:val="004972D0"/>
    <w:rsid w:val="004A4A74"/>
    <w:rsid w:val="004B200E"/>
    <w:rsid w:val="004B3575"/>
    <w:rsid w:val="004C0007"/>
    <w:rsid w:val="004C0F4F"/>
    <w:rsid w:val="004C30AE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1DC8"/>
    <w:rsid w:val="005B2965"/>
    <w:rsid w:val="005B589E"/>
    <w:rsid w:val="005C1BF1"/>
    <w:rsid w:val="005D5079"/>
    <w:rsid w:val="005F5210"/>
    <w:rsid w:val="0061183B"/>
    <w:rsid w:val="00613D25"/>
    <w:rsid w:val="006201AE"/>
    <w:rsid w:val="006210DE"/>
    <w:rsid w:val="006230D0"/>
    <w:rsid w:val="00623F90"/>
    <w:rsid w:val="006277B3"/>
    <w:rsid w:val="006310F2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779D"/>
    <w:rsid w:val="006803BC"/>
    <w:rsid w:val="006845C8"/>
    <w:rsid w:val="00690049"/>
    <w:rsid w:val="00696138"/>
    <w:rsid w:val="006A553E"/>
    <w:rsid w:val="006C2E58"/>
    <w:rsid w:val="006C4144"/>
    <w:rsid w:val="006D0F08"/>
    <w:rsid w:val="006D58AD"/>
    <w:rsid w:val="006E299A"/>
    <w:rsid w:val="006F5E36"/>
    <w:rsid w:val="00703016"/>
    <w:rsid w:val="0070357C"/>
    <w:rsid w:val="00703E6C"/>
    <w:rsid w:val="0071040D"/>
    <w:rsid w:val="00712D1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5A73"/>
    <w:rsid w:val="00781313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8E2"/>
    <w:rsid w:val="008B0A8F"/>
    <w:rsid w:val="008B1478"/>
    <w:rsid w:val="008B4108"/>
    <w:rsid w:val="008B66C0"/>
    <w:rsid w:val="008C20D2"/>
    <w:rsid w:val="008C63C5"/>
    <w:rsid w:val="008D4E1F"/>
    <w:rsid w:val="008D5DCF"/>
    <w:rsid w:val="008E3167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74FBD"/>
    <w:rsid w:val="009763D4"/>
    <w:rsid w:val="0099193D"/>
    <w:rsid w:val="00995627"/>
    <w:rsid w:val="009A3DF0"/>
    <w:rsid w:val="009A62FD"/>
    <w:rsid w:val="009A6C34"/>
    <w:rsid w:val="009B1597"/>
    <w:rsid w:val="009D3190"/>
    <w:rsid w:val="009D359B"/>
    <w:rsid w:val="009E1A21"/>
    <w:rsid w:val="009F4300"/>
    <w:rsid w:val="00A13110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442A"/>
    <w:rsid w:val="00B461EB"/>
    <w:rsid w:val="00B50847"/>
    <w:rsid w:val="00B55A2E"/>
    <w:rsid w:val="00B60E63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D0CA9"/>
    <w:rsid w:val="00BD2E47"/>
    <w:rsid w:val="00BD37EC"/>
    <w:rsid w:val="00BE233E"/>
    <w:rsid w:val="00BE2D84"/>
    <w:rsid w:val="00BE52C4"/>
    <w:rsid w:val="00BF0E23"/>
    <w:rsid w:val="00BF5E43"/>
    <w:rsid w:val="00BF60B0"/>
    <w:rsid w:val="00C06991"/>
    <w:rsid w:val="00C17398"/>
    <w:rsid w:val="00C20F78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604F2"/>
    <w:rsid w:val="00D7077E"/>
    <w:rsid w:val="00D7513D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3DF3"/>
    <w:rsid w:val="00DC41BB"/>
    <w:rsid w:val="00DC68B2"/>
    <w:rsid w:val="00DD6B39"/>
    <w:rsid w:val="00DE0A85"/>
    <w:rsid w:val="00DE17A5"/>
    <w:rsid w:val="00DF0D74"/>
    <w:rsid w:val="00DF3146"/>
    <w:rsid w:val="00DF3F55"/>
    <w:rsid w:val="00DF7FFC"/>
    <w:rsid w:val="00E00091"/>
    <w:rsid w:val="00E11F38"/>
    <w:rsid w:val="00E1746D"/>
    <w:rsid w:val="00E25393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DC44-0FA1-4630-ABAB-82B6D3AF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513</cp:revision>
  <cp:lastPrinted>2016-09-14T11:14:00Z</cp:lastPrinted>
  <dcterms:created xsi:type="dcterms:W3CDTF">2015-09-10T08:38:00Z</dcterms:created>
  <dcterms:modified xsi:type="dcterms:W3CDTF">2016-11-15T14:22:00Z</dcterms:modified>
</cp:coreProperties>
</file>